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ascii="宋体" w:hAnsi="宋体" w:eastAsia="宋体" w:cs="宋体"/>
          <w:b/>
          <w:bCs/>
          <w:sz w:val="32"/>
          <w:szCs w:val="32"/>
          <w:lang w:val="en-US" w:eastAsia="zh-CN"/>
        </w:rPr>
        <w:t>RABT</w:t>
      </w:r>
      <w:r>
        <w:rPr>
          <w:rFonts w:hint="eastAsia"/>
          <w:b/>
          <w:bCs/>
          <w:sz w:val="32"/>
          <w:szCs w:val="32"/>
          <w:lang w:val="en-US" w:eastAsia="zh-CN"/>
        </w:rPr>
        <w:t>升温曲线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C00000"/>
          <w:lang w:val="en-US" w:eastAsia="zh-CN"/>
        </w:rPr>
      </w:pPr>
      <w:r>
        <w:rPr>
          <w:rFonts w:hint="eastAsia"/>
          <w:color w:val="C00000"/>
          <w:lang w:val="en-US" w:eastAsia="zh-CN"/>
        </w:rPr>
        <w:t>建筑纤维类升温曲线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这种曲线主要以棉纤和木材等建筑纤维材料为对象，以建筑材料的燃烧物为基础，在世界各地被称之为：</w:t>
      </w:r>
      <w:r>
        <w:rPr>
          <w:rFonts w:hint="eastAsia"/>
          <w:color w:val="0000FF"/>
          <w:lang w:val="en-US" w:eastAsia="zh-CN"/>
        </w:rPr>
        <w:t>标准升温曲线</w:t>
      </w:r>
      <w:r>
        <w:rPr>
          <w:rFonts w:hint="eastAsia"/>
          <w:lang w:val="en-US" w:eastAsia="zh-CN"/>
        </w:rPr>
        <w:t>，国际为</w:t>
      </w:r>
      <w:r>
        <w:rPr>
          <w:rFonts w:hint="eastAsia" w:ascii="宋体" w:hAnsi="宋体" w:eastAsia="宋体" w:cs="宋体"/>
          <w:lang w:val="en-US" w:eastAsia="zh-CN"/>
        </w:rPr>
        <w:t>GB/T 9978</w:t>
      </w:r>
      <w:r>
        <w:rPr>
          <w:rFonts w:hint="eastAsia"/>
          <w:lang w:val="en-US" w:eastAsia="zh-CN"/>
        </w:rPr>
        <w:t>《建筑构件耐火试验方法》。</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C00000"/>
          <w:lang w:val="en-US" w:eastAsia="zh-CN"/>
        </w:rPr>
      </w:pPr>
      <w:r>
        <w:rPr>
          <w:rFonts w:hint="eastAsia"/>
          <w:color w:val="C00000"/>
          <w:lang w:val="en-US" w:eastAsia="zh-CN"/>
        </w:rPr>
        <w:t>碳氢化合物升温曲线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尽管这种纤维质曲线已经用了好多年，但像石油、化合物等材料的燃烧物大大高于像木材等的燃烧物，因此对于石油化工行业的建筑和材料，就需要另外一种曲线，这就发展了碳氢化合物升温曲线，此曲线适用于可能发生小型石油火灾的隧道。这种曲线是：在8分钟内温度上升到</w:t>
      </w:r>
      <w:r>
        <w:rPr>
          <w:rFonts w:hint="eastAsia" w:ascii="宋体" w:hAnsi="宋体" w:eastAsia="宋体" w:cs="宋体"/>
          <w:lang w:val="en-US" w:eastAsia="zh-CN"/>
        </w:rPr>
        <w:t>900℃</w:t>
      </w:r>
      <w:r>
        <w:rPr>
          <w:rFonts w:hint="eastAsia"/>
          <w:lang w:val="en-US" w:eastAsia="zh-CN"/>
        </w:rPr>
        <w:t>，在25分钟内已经升到</w:t>
      </w:r>
      <w:r>
        <w:rPr>
          <w:rFonts w:hint="eastAsia" w:ascii="宋体" w:hAnsi="宋体" w:eastAsia="宋体" w:cs="宋体"/>
          <w:lang w:val="en-US" w:eastAsia="zh-CN"/>
        </w:rPr>
        <w:t>1100℃</w:t>
      </w:r>
      <w:r>
        <w:rPr>
          <w:rFonts w:hint="eastAsia"/>
          <w:lang w:val="en-US" w:eastAsia="zh-CN"/>
        </w:rPr>
        <w:t>。目前称之为：</w:t>
      </w:r>
      <w:r>
        <w:rPr>
          <w:rFonts w:hint="eastAsia" w:ascii="宋体" w:hAnsi="宋体" w:eastAsia="宋体" w:cs="宋体"/>
          <w:color w:val="0000FF"/>
          <w:lang w:val="en-US" w:eastAsia="zh-CN"/>
        </w:rPr>
        <w:t>HC</w:t>
      </w:r>
      <w:r>
        <w:rPr>
          <w:rFonts w:hint="eastAsia"/>
          <w:color w:val="0000FF"/>
          <w:lang w:val="en-US" w:eastAsia="zh-CN"/>
        </w:rPr>
        <w:t>升温曲线</w:t>
      </w:r>
      <w:r>
        <w:rPr>
          <w:rFonts w:hint="eastAsia"/>
          <w:lang w:val="en-US" w:eastAsia="zh-CN"/>
        </w:rPr>
        <w:t>，行标</w:t>
      </w:r>
      <w:r>
        <w:rPr>
          <w:rFonts w:hint="eastAsia" w:ascii="宋体" w:hAnsi="宋体" w:eastAsia="宋体" w:cs="宋体"/>
          <w:lang w:val="en-US" w:eastAsia="zh-CN"/>
        </w:rPr>
        <w:t>GA98-2005</w:t>
      </w:r>
      <w:r>
        <w:rPr>
          <w:rFonts w:hint="eastAsia"/>
          <w:lang w:val="en-US" w:eastAsia="zh-CN"/>
        </w:rPr>
        <w:t>《混凝土结构防火涂料》。</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C00000"/>
          <w:lang w:val="en-US" w:eastAsia="zh-CN"/>
        </w:rPr>
      </w:pPr>
      <w:r>
        <w:rPr>
          <w:rFonts w:hint="eastAsia" w:ascii="宋体" w:hAnsi="宋体" w:eastAsia="宋体" w:cs="宋体"/>
          <w:color w:val="C00000"/>
          <w:lang w:val="en-US" w:eastAsia="zh-CN"/>
        </w:rPr>
        <w:t>RABT</w:t>
      </w:r>
      <w:r>
        <w:rPr>
          <w:rFonts w:hint="eastAsia"/>
          <w:color w:val="C00000"/>
          <w:lang w:val="en-US" w:eastAsia="zh-CN"/>
        </w:rPr>
        <w:t>升温曲线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RABT升温曲线是根据在德国一系列实验室研究成果发展的，这种曲线模拟在5分钟内温度快速升到</w:t>
      </w:r>
      <w:r>
        <w:rPr>
          <w:rFonts w:hint="eastAsia" w:ascii="宋体" w:hAnsi="宋体" w:eastAsia="宋体" w:cs="宋体"/>
          <w:lang w:val="en-US" w:eastAsia="zh-CN"/>
        </w:rPr>
        <w:t>1200℃</w:t>
      </w:r>
      <w:r>
        <w:rPr>
          <w:rFonts w:hint="eastAsia"/>
          <w:lang w:val="en-US" w:eastAsia="zh-CN"/>
        </w:rPr>
        <w:t>，这种曲线高温持续时间比其他曲线短。主要模拟隧道内火灾的烃类爆燃性火灾，当隧道氧气缺乏时，火灾的燃烧温度发生变化，故升温燃烧</w:t>
      </w:r>
      <w:r>
        <w:rPr>
          <w:rFonts w:hint="eastAsia" w:ascii="宋体" w:hAnsi="宋体" w:eastAsia="宋体" w:cs="宋体"/>
          <w:lang w:val="en-US" w:eastAsia="zh-CN"/>
        </w:rPr>
        <w:t>1.5-2.0h</w:t>
      </w:r>
      <w:r>
        <w:rPr>
          <w:rFonts w:hint="eastAsia"/>
          <w:lang w:val="en-US" w:eastAsia="zh-CN"/>
        </w:rPr>
        <w:t>，再持续降温燃烧</w:t>
      </w:r>
      <w:r>
        <w:rPr>
          <w:rFonts w:hint="eastAsia" w:ascii="宋体" w:hAnsi="宋体" w:eastAsia="宋体" w:cs="宋体"/>
          <w:lang w:val="en-US" w:eastAsia="zh-CN"/>
        </w:rPr>
        <w:t>1.83h，</w:t>
      </w:r>
      <w:r>
        <w:rPr>
          <w:rFonts w:hint="eastAsia"/>
          <w:lang w:val="en-US" w:eastAsia="zh-CN"/>
        </w:rPr>
        <w:t>目前称之为：</w:t>
      </w:r>
      <w:r>
        <w:rPr>
          <w:rFonts w:hint="eastAsia" w:ascii="宋体" w:hAnsi="宋体" w:eastAsia="宋体" w:cs="宋体"/>
          <w:color w:val="0000FF"/>
          <w:lang w:val="en-US" w:eastAsia="zh-CN"/>
        </w:rPr>
        <w:t>RABT</w:t>
      </w:r>
      <w:r>
        <w:rPr>
          <w:rFonts w:hint="eastAsia"/>
          <w:color w:val="0000FF"/>
          <w:lang w:val="en-US" w:eastAsia="zh-CN"/>
        </w:rPr>
        <w:t>升温曲线</w:t>
      </w:r>
      <w:r>
        <w:rPr>
          <w:rFonts w:hint="eastAsia"/>
          <w:lang w:val="en-US" w:eastAsia="zh-CN"/>
        </w:rPr>
        <w:t>，行标</w:t>
      </w:r>
      <w:r>
        <w:rPr>
          <w:rFonts w:hint="eastAsia" w:ascii="宋体" w:hAnsi="宋体" w:eastAsia="宋体" w:cs="宋体"/>
          <w:lang w:val="en-US" w:eastAsia="zh-CN"/>
        </w:rPr>
        <w:t>GA/T 714-2007</w:t>
      </w:r>
      <w:r>
        <w:rPr>
          <w:rFonts w:hint="eastAsia"/>
          <w:lang w:val="en-US" w:eastAsia="zh-CN"/>
        </w:rPr>
        <w:t>《构件用防火保护材料快速升温耐火试验方法》。</w:t>
      </w: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隧道内承重结构体的耐火极限试验升温曲线和相应的判定标准</w:t>
      </w:r>
    </w:p>
    <w:p>
      <w:pPr>
        <w:numPr>
          <w:ilvl w:val="0"/>
          <w:numId w:val="0"/>
        </w:numPr>
        <w:rPr>
          <w:rFonts w:hint="eastAsia"/>
          <w:lang w:val="en-US" w:eastAsia="zh-CN"/>
        </w:rPr>
      </w:pPr>
      <w:r>
        <w:rPr>
          <w:rFonts w:hint="eastAsia"/>
          <w:lang w:val="en-US" w:eastAsia="zh-CN"/>
        </w:rPr>
        <w:drawing>
          <wp:inline distT="0" distB="0" distL="114300" distR="114300">
            <wp:extent cx="5133340" cy="4009390"/>
            <wp:effectExtent l="0" t="0" r="10160" b="10160"/>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4"/>
                    <a:stretch>
                      <a:fillRect/>
                    </a:stretch>
                  </pic:blipFill>
                  <pic:spPr>
                    <a:xfrm>
                      <a:off x="0" y="0"/>
                      <a:ext cx="5133340" cy="4009390"/>
                    </a:xfrm>
                    <a:prstGeom prst="rect">
                      <a:avLst/>
                    </a:prstGeom>
                  </pic:spPr>
                </pic:pic>
              </a:graphicData>
            </a:graphic>
          </wp:inline>
        </w:drawing>
      </w:r>
    </w:p>
    <w:p>
      <w:pPr>
        <w:numPr>
          <w:ilvl w:val="0"/>
          <w:numId w:val="0"/>
        </w:numPr>
        <w:rPr>
          <w:rFonts w:hint="eastAsia"/>
          <w:lang w:val="en-US" w:eastAsia="zh-CN"/>
        </w:rPr>
      </w:pPr>
      <w:r>
        <w:rPr>
          <w:rFonts w:hint="eastAsia"/>
          <w:lang w:val="en-US" w:eastAsia="zh-CN"/>
        </w:rPr>
        <w:t>上图中的曲线名称：</w:t>
      </w:r>
    </w:p>
    <w:p>
      <w:pPr>
        <w:numPr>
          <w:ilvl w:val="0"/>
          <w:numId w:val="2"/>
        </w:numPr>
        <w:rPr>
          <w:rFonts w:hint="eastAsia" w:ascii="宋体" w:hAnsi="宋体" w:eastAsia="宋体" w:cs="宋体"/>
          <w:lang w:val="en-US" w:eastAsia="zh-CN"/>
        </w:rPr>
      </w:pPr>
      <w:r>
        <w:rPr>
          <w:rFonts w:hint="eastAsia" w:ascii="宋体" w:hAnsi="宋体" w:eastAsia="宋体" w:cs="宋体"/>
          <w:lang w:val="en-US" w:eastAsia="zh-CN"/>
        </w:rPr>
        <w:t>“RABT升温曲线”耐火时间3.8h。（烃类火灾）①</w:t>
      </w:r>
    </w:p>
    <w:p>
      <w:pPr>
        <w:numPr>
          <w:ilvl w:val="0"/>
          <w:numId w:val="2"/>
        </w:numPr>
        <w:rPr>
          <w:rFonts w:hint="eastAsia" w:ascii="宋体" w:hAnsi="宋体" w:eastAsia="宋体" w:cs="宋体"/>
          <w:lang w:val="en-US" w:eastAsia="zh-CN"/>
        </w:rPr>
      </w:pPr>
      <w:r>
        <w:rPr>
          <w:rFonts w:hint="eastAsia" w:ascii="宋体" w:hAnsi="宋体" w:eastAsia="宋体" w:cs="宋体"/>
          <w:lang w:val="en-US" w:eastAsia="zh-CN"/>
        </w:rPr>
        <w:t>“RABT升温曲线”耐火时间3.3h。（烃类火灾）</w:t>
      </w:r>
    </w:p>
    <w:p>
      <w:pPr>
        <w:widowControl w:val="0"/>
        <w:numPr>
          <w:numId w:val="0"/>
        </w:numPr>
        <w:jc w:val="both"/>
        <w:rPr>
          <w:rFonts w:hint="eastAsia" w:ascii="宋体" w:hAnsi="宋体" w:eastAsia="宋体" w:cs="宋体"/>
          <w:lang w:val="en-US" w:eastAsia="zh-CN"/>
        </w:rPr>
      </w:pPr>
    </w:p>
    <w:p>
      <w:pPr>
        <w:widowControl w:val="0"/>
        <w:numPr>
          <w:numId w:val="0"/>
        </w:numPr>
        <w:jc w:val="both"/>
        <w:rPr>
          <w:rFonts w:hint="eastAsia" w:ascii="宋体" w:hAnsi="宋体" w:eastAsia="宋体" w:cs="宋体"/>
          <w:lang w:val="en-US" w:eastAsia="zh-CN"/>
        </w:rPr>
      </w:pPr>
      <w:bookmarkStart w:id="0" w:name="_GoBack"/>
      <w:bookmarkEnd w:id="0"/>
    </w:p>
    <w:p>
      <w:pPr>
        <w:numPr>
          <w:ilvl w:val="0"/>
          <w:numId w:val="2"/>
        </w:numPr>
        <w:rPr>
          <w:rFonts w:hint="eastAsia" w:ascii="宋体" w:hAnsi="宋体" w:eastAsia="宋体" w:cs="宋体"/>
          <w:lang w:val="en-US" w:eastAsia="zh-CN"/>
        </w:rPr>
      </w:pPr>
      <w:r>
        <w:rPr>
          <w:rFonts w:hint="eastAsia" w:ascii="宋体" w:hAnsi="宋体" w:eastAsia="宋体" w:cs="宋体"/>
          <w:lang w:val="en-US" w:eastAsia="zh-CN"/>
        </w:rPr>
        <w:t>“HC升温曲线”耐火时间2h。（电力火灾）</w:t>
      </w:r>
    </w:p>
    <w:p>
      <w:pPr>
        <w:numPr>
          <w:ilvl w:val="0"/>
          <w:numId w:val="2"/>
        </w:numPr>
        <w:rPr>
          <w:rFonts w:hint="eastAsia"/>
          <w:lang w:val="en-US" w:eastAsia="zh-CN"/>
        </w:rPr>
      </w:pPr>
      <w:r>
        <w:rPr>
          <w:rFonts w:hint="eastAsia" w:ascii="宋体" w:hAnsi="宋体" w:eastAsia="宋体" w:cs="宋体"/>
          <w:lang w:val="en-US" w:eastAsia="zh-CN"/>
        </w:rPr>
        <w:t>“标准升温曲线”耐火时间2h。（建筑纤维火灾）</w:t>
      </w:r>
    </w:p>
    <w:p>
      <w:pPr>
        <w:numPr>
          <w:ilvl w:val="0"/>
          <w:numId w:val="0"/>
        </w:numPr>
        <w:rPr>
          <w:rFonts w:hint="eastAsia"/>
          <w:lang w:val="en-US" w:eastAsia="zh-CN"/>
        </w:rPr>
      </w:pPr>
      <w:r>
        <w:rPr>
          <w:rFonts w:hint="eastAsia" w:ascii="宋体" w:hAnsi="宋体" w:eastAsia="宋体" w:cs="宋体"/>
          <w:lang w:val="en-US" w:eastAsia="zh-CN"/>
        </w:rPr>
        <w:t>HC</w:t>
      </w:r>
      <w:r>
        <w:rPr>
          <w:rFonts w:hint="eastAsia"/>
          <w:lang w:val="en-US" w:eastAsia="zh-CN"/>
        </w:rPr>
        <w:t>标准升温曲线表</w:t>
      </w:r>
    </w:p>
    <w:p>
      <w:pPr>
        <w:numPr>
          <w:ilvl w:val="0"/>
          <w:numId w:val="0"/>
        </w:numPr>
        <w:tabs>
          <w:tab w:val="left" w:leader="underscore" w:pos="1050"/>
        </w:tabs>
        <w:jc w:val="center"/>
        <w:rPr>
          <w:rFonts w:hint="eastAsia"/>
          <w:b/>
          <w:bCs/>
          <w:lang w:val="en-US" w:eastAsia="zh-CN"/>
        </w:rPr>
      </w:pPr>
      <w:r>
        <w:rPr>
          <w:rFonts w:hint="eastAsia"/>
          <w:b/>
          <w:bCs/>
          <w:lang w:val="en-US" w:eastAsia="zh-CN"/>
        </w:rPr>
        <w:t>碳氢化合物升温曲线表</w:t>
      </w:r>
    </w:p>
    <w:tbl>
      <w:tblPr>
        <w:tblStyle w:val="4"/>
        <w:tblW w:w="8925"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908"/>
        <w:gridCol w:w="908"/>
        <w:gridCol w:w="908"/>
        <w:gridCol w:w="908"/>
        <w:gridCol w:w="908"/>
        <w:gridCol w:w="908"/>
        <w:gridCol w:w="912"/>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335" w:type="dxa"/>
            <w:vAlign w:val="center"/>
          </w:tcPr>
          <w:p>
            <w:pPr>
              <w:numPr>
                <w:ilvl w:val="0"/>
                <w:numId w:val="0"/>
              </w:numPr>
              <w:tabs>
                <w:tab w:val="left" w:leader="underscore" w:pos="1050"/>
              </w:tabs>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时间（min）</w:t>
            </w:r>
          </w:p>
        </w:tc>
        <w:tc>
          <w:tcPr>
            <w:tcW w:w="908" w:type="dxa"/>
            <w:vAlign w:val="center"/>
          </w:tcPr>
          <w:p>
            <w:pPr>
              <w:numPr>
                <w:ilvl w:val="0"/>
                <w:numId w:val="0"/>
              </w:numPr>
              <w:tabs>
                <w:tab w:val="left" w:leader="underscore" w:pos="1050"/>
              </w:tabs>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w:t>
            </w:r>
          </w:p>
        </w:tc>
        <w:tc>
          <w:tcPr>
            <w:tcW w:w="908" w:type="dxa"/>
            <w:vAlign w:val="center"/>
          </w:tcPr>
          <w:p>
            <w:pPr>
              <w:numPr>
                <w:ilvl w:val="0"/>
                <w:numId w:val="0"/>
              </w:numPr>
              <w:tabs>
                <w:tab w:val="left" w:leader="underscore" w:pos="1050"/>
              </w:tabs>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w:t>
            </w:r>
          </w:p>
        </w:tc>
        <w:tc>
          <w:tcPr>
            <w:tcW w:w="908" w:type="dxa"/>
            <w:vAlign w:val="center"/>
          </w:tcPr>
          <w:p>
            <w:pPr>
              <w:numPr>
                <w:ilvl w:val="0"/>
                <w:numId w:val="0"/>
              </w:numPr>
              <w:tabs>
                <w:tab w:val="left" w:leader="underscore" w:pos="1050"/>
              </w:tabs>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w:t>
            </w:r>
          </w:p>
        </w:tc>
        <w:tc>
          <w:tcPr>
            <w:tcW w:w="908" w:type="dxa"/>
            <w:vAlign w:val="center"/>
          </w:tcPr>
          <w:p>
            <w:pPr>
              <w:numPr>
                <w:ilvl w:val="0"/>
                <w:numId w:val="0"/>
              </w:numPr>
              <w:tabs>
                <w:tab w:val="left" w:leader="underscore" w:pos="1050"/>
              </w:tabs>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30</w:t>
            </w:r>
          </w:p>
        </w:tc>
        <w:tc>
          <w:tcPr>
            <w:tcW w:w="908" w:type="dxa"/>
            <w:vAlign w:val="center"/>
          </w:tcPr>
          <w:p>
            <w:pPr>
              <w:numPr>
                <w:ilvl w:val="0"/>
                <w:numId w:val="0"/>
              </w:numPr>
              <w:tabs>
                <w:tab w:val="left" w:leader="underscore" w:pos="1050"/>
              </w:tabs>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60</w:t>
            </w:r>
          </w:p>
        </w:tc>
        <w:tc>
          <w:tcPr>
            <w:tcW w:w="908" w:type="dxa"/>
            <w:vAlign w:val="center"/>
          </w:tcPr>
          <w:p>
            <w:pPr>
              <w:numPr>
                <w:ilvl w:val="0"/>
                <w:numId w:val="0"/>
              </w:numPr>
              <w:tabs>
                <w:tab w:val="left" w:leader="underscore" w:pos="1050"/>
              </w:tabs>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90</w:t>
            </w:r>
          </w:p>
        </w:tc>
        <w:tc>
          <w:tcPr>
            <w:tcW w:w="912" w:type="dxa"/>
            <w:vAlign w:val="center"/>
          </w:tcPr>
          <w:p>
            <w:pPr>
              <w:numPr>
                <w:ilvl w:val="0"/>
                <w:numId w:val="0"/>
              </w:numPr>
              <w:tabs>
                <w:tab w:val="left" w:leader="underscore" w:pos="1050"/>
              </w:tabs>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120</w:t>
            </w:r>
          </w:p>
        </w:tc>
        <w:tc>
          <w:tcPr>
            <w:tcW w:w="1230" w:type="dxa"/>
            <w:vAlign w:val="center"/>
          </w:tcPr>
          <w:p>
            <w:pPr>
              <w:numPr>
                <w:ilvl w:val="0"/>
                <w:numId w:val="0"/>
              </w:numPr>
              <w:tabs>
                <w:tab w:val="left" w:leader="underscore" w:pos="1050"/>
              </w:tabs>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120以后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5" w:type="dxa"/>
            <w:vAlign w:val="center"/>
          </w:tcPr>
          <w:p>
            <w:pPr>
              <w:numPr>
                <w:ilvl w:val="0"/>
                <w:numId w:val="0"/>
              </w:numPr>
              <w:tabs>
                <w:tab w:val="left" w:leader="underscore" w:pos="1050"/>
              </w:tabs>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炉内稳定（℃）</w:t>
            </w:r>
          </w:p>
        </w:tc>
        <w:tc>
          <w:tcPr>
            <w:tcW w:w="908" w:type="dxa"/>
            <w:vAlign w:val="center"/>
          </w:tcPr>
          <w:p>
            <w:pPr>
              <w:numPr>
                <w:ilvl w:val="0"/>
                <w:numId w:val="0"/>
              </w:numPr>
              <w:tabs>
                <w:tab w:val="left" w:leader="underscore" w:pos="1050"/>
              </w:tabs>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887</w:t>
            </w:r>
          </w:p>
        </w:tc>
        <w:tc>
          <w:tcPr>
            <w:tcW w:w="908" w:type="dxa"/>
            <w:vAlign w:val="center"/>
          </w:tcPr>
          <w:p>
            <w:pPr>
              <w:numPr>
                <w:ilvl w:val="0"/>
                <w:numId w:val="0"/>
              </w:numPr>
              <w:tabs>
                <w:tab w:val="left" w:leader="underscore" w:pos="1050"/>
              </w:tabs>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948</w:t>
            </w:r>
          </w:p>
        </w:tc>
        <w:tc>
          <w:tcPr>
            <w:tcW w:w="908" w:type="dxa"/>
            <w:vAlign w:val="center"/>
          </w:tcPr>
          <w:p>
            <w:pPr>
              <w:numPr>
                <w:ilvl w:val="0"/>
                <w:numId w:val="0"/>
              </w:numPr>
              <w:tabs>
                <w:tab w:val="left" w:leader="underscore" w:pos="1050"/>
              </w:tabs>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982</w:t>
            </w:r>
          </w:p>
        </w:tc>
        <w:tc>
          <w:tcPr>
            <w:tcW w:w="908" w:type="dxa"/>
            <w:vAlign w:val="center"/>
          </w:tcPr>
          <w:p>
            <w:pPr>
              <w:numPr>
                <w:ilvl w:val="0"/>
                <w:numId w:val="0"/>
              </w:numPr>
              <w:tabs>
                <w:tab w:val="left" w:leader="underscore" w:pos="1050"/>
              </w:tabs>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1110</w:t>
            </w:r>
          </w:p>
        </w:tc>
        <w:tc>
          <w:tcPr>
            <w:tcW w:w="908" w:type="dxa"/>
            <w:vAlign w:val="center"/>
          </w:tcPr>
          <w:p>
            <w:pPr>
              <w:numPr>
                <w:ilvl w:val="0"/>
                <w:numId w:val="0"/>
              </w:numPr>
              <w:tabs>
                <w:tab w:val="left" w:leader="underscore" w:pos="1050"/>
              </w:tabs>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1150</w:t>
            </w:r>
          </w:p>
        </w:tc>
        <w:tc>
          <w:tcPr>
            <w:tcW w:w="908" w:type="dxa"/>
            <w:vAlign w:val="center"/>
          </w:tcPr>
          <w:p>
            <w:pPr>
              <w:numPr>
                <w:ilvl w:val="0"/>
                <w:numId w:val="0"/>
              </w:numPr>
              <w:tabs>
                <w:tab w:val="left" w:leader="underscore" w:pos="1050"/>
              </w:tabs>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1150</w:t>
            </w:r>
          </w:p>
        </w:tc>
        <w:tc>
          <w:tcPr>
            <w:tcW w:w="912" w:type="dxa"/>
            <w:vAlign w:val="center"/>
          </w:tcPr>
          <w:p>
            <w:pPr>
              <w:numPr>
                <w:ilvl w:val="0"/>
                <w:numId w:val="0"/>
              </w:numPr>
              <w:tabs>
                <w:tab w:val="left" w:leader="underscore" w:pos="1050"/>
              </w:tabs>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1150</w:t>
            </w:r>
          </w:p>
        </w:tc>
        <w:tc>
          <w:tcPr>
            <w:tcW w:w="1230" w:type="dxa"/>
            <w:vAlign w:val="center"/>
          </w:tcPr>
          <w:p>
            <w:pPr>
              <w:numPr>
                <w:ilvl w:val="0"/>
                <w:numId w:val="0"/>
              </w:numPr>
              <w:tabs>
                <w:tab w:val="left" w:leader="underscore" w:pos="1050"/>
              </w:tabs>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1150</w:t>
            </w:r>
          </w:p>
        </w:tc>
      </w:tr>
    </w:tbl>
    <w:p>
      <w:pPr>
        <w:keepNext w:val="0"/>
        <w:keepLines w:val="0"/>
        <w:pageBreakBefore w:val="0"/>
        <w:widowControl w:val="0"/>
        <w:numPr>
          <w:ilvl w:val="0"/>
          <w:numId w:val="0"/>
        </w:numPr>
        <w:tabs>
          <w:tab w:val="left" w:leader="underscore" w:pos="105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耐火极限判定标准</w:t>
      </w:r>
    </w:p>
    <w:p>
      <w:pPr>
        <w:keepNext w:val="0"/>
        <w:keepLines w:val="0"/>
        <w:pageBreakBefore w:val="0"/>
        <w:widowControl w:val="0"/>
        <w:numPr>
          <w:ilvl w:val="0"/>
          <w:numId w:val="3"/>
        </w:numPr>
        <w:tabs>
          <w:tab w:val="left" w:leader="underscore" w:pos="105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当采用HC标准升温曲线测试时，其耐火极限的判定标准为：受火后，当距离混凝土底表面25mm处钢筋的温度超过250℃，或者混凝土表面的温度超过380℃时，则判定为达到耐火极限。</w:t>
      </w:r>
    </w:p>
    <w:p>
      <w:pPr>
        <w:keepNext w:val="0"/>
        <w:keepLines w:val="0"/>
        <w:pageBreakBefore w:val="0"/>
        <w:widowControl w:val="0"/>
        <w:numPr>
          <w:ilvl w:val="0"/>
          <w:numId w:val="3"/>
        </w:numPr>
        <w:tabs>
          <w:tab w:val="left" w:leader="underscore" w:pos="105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b/>
          <w:bCs/>
          <w:sz w:val="21"/>
          <w:szCs w:val="21"/>
          <w:lang w:eastAsia="zh-CN"/>
        </w:rPr>
      </w:pPr>
      <w:r>
        <w:rPr>
          <w:rFonts w:hint="eastAsia" w:ascii="宋体" w:hAnsi="宋体" w:eastAsia="宋体" w:cs="宋体"/>
          <w:lang w:val="en-US" w:eastAsia="zh-CN"/>
        </w:rPr>
        <w:t>当采用RABT标准升温曲线测试时，其耐火极限的判定标准为：受火后，当距离混凝土表面25mm处的温度超过300℃，或者混凝土表面的温度超过380℃时，则判定为达到耐火极限。</w:t>
      </w:r>
    </w:p>
    <w:p>
      <w:pPr>
        <w:keepNext w:val="0"/>
        <w:keepLines w:val="0"/>
        <w:pageBreakBefore w:val="0"/>
        <w:widowControl w:val="0"/>
        <w:numPr>
          <w:ilvl w:val="0"/>
          <w:numId w:val="0"/>
        </w:numPr>
        <w:tabs>
          <w:tab w:val="left" w:leader="underscore" w:pos="1050"/>
        </w:tabs>
        <w:kinsoku/>
        <w:wordWrap/>
        <w:overflowPunct/>
        <w:topLinePunct w:val="0"/>
        <w:autoSpaceDE/>
        <w:autoSpaceDN/>
        <w:bidi w:val="0"/>
        <w:adjustRightInd/>
        <w:snapToGrid/>
        <w:spacing w:line="240" w:lineRule="auto"/>
        <w:ind w:right="0" w:rightChars="0"/>
        <w:jc w:val="both"/>
        <w:textAlignment w:val="auto"/>
        <w:outlineLvl w:val="9"/>
        <w:rPr>
          <w:rFonts w:hint="eastAsia"/>
          <w:b/>
          <w:bCs/>
          <w:sz w:val="21"/>
          <w:szCs w:val="21"/>
          <w:lang w:eastAsia="zh-CN"/>
        </w:rPr>
      </w:pPr>
    </w:p>
    <w:p>
      <w:pPr>
        <w:rPr>
          <w:rFonts w:hint="eastAsia" w:ascii="宋体" w:hAnsi="宋体" w:eastAsia="宋体" w:cs="宋体"/>
        </w:rPr>
      </w:pPr>
      <w:r>
        <w:rPr>
          <w:rFonts w:hint="eastAsia"/>
          <w:b/>
          <w:bCs/>
          <w:sz w:val="21"/>
          <w:szCs w:val="21"/>
          <w:lang w:eastAsia="zh-CN"/>
        </w:rPr>
        <w:t>注：</w:t>
      </w:r>
      <w:r>
        <w:rPr>
          <w:rFonts w:hint="eastAsia" w:ascii="宋体" w:hAnsi="宋体" w:eastAsia="宋体" w:cs="宋体"/>
          <w:sz w:val="21"/>
          <w:szCs w:val="21"/>
          <w:lang w:val="en-US" w:eastAsia="zh-CN"/>
        </w:rPr>
        <w:t xml:space="preserve">① </w:t>
      </w:r>
      <w:r>
        <w:rPr>
          <w:rFonts w:hint="eastAsia"/>
          <w:b/>
          <w:bCs/>
          <w:sz w:val="21"/>
          <w:szCs w:val="21"/>
        </w:rPr>
        <w:t>烃类火灾与标准（纤维素）火灾的区别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火灾分为两种主要的类型：烃类火灾、纤维素类火灾。这两种火灾具有不同的特点，对应的防火要求也不相同。而目前我国市场上普遍流通使用的防火涂料对纤维素火类的火灾效果十分有效，对于烃类火灾的的有效性仅达到60%左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烃类火灾的的燃烧源为烃类基质，富含氢和碳的燃料，如石油、化工产品等；纤维素火灾的燃烧源为含纤维素类的材料，如木材，纸张等。两种火灾最大的不同点在于升温曲线不同，纤维素火灾30min内火焰温度达到700-800℃，而烃类火灾的升温速度快，10min内温度达到1000℃以上。烃类火灾发生时除了具有升温速度快的特点外，还伴随着爆炸而产生的强大的冲击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下图为烃类火和纤维素火的燃烧温度曲线图。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drawing>
          <wp:inline distT="0" distB="0" distL="114300" distR="114300">
            <wp:extent cx="4496435" cy="2677160"/>
            <wp:effectExtent l="0" t="0" r="18415" b="8890"/>
            <wp:docPr id="5" name="图片 5"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11"/>
                    <pic:cNvPicPr>
                      <a:picLocks noChangeAspect="1"/>
                    </pic:cNvPicPr>
                  </pic:nvPicPr>
                  <pic:blipFill>
                    <a:blip r:embed="rId5"/>
                    <a:stretch>
                      <a:fillRect/>
                    </a:stretch>
                  </pic:blipFill>
                  <pic:spPr>
                    <a:xfrm>
                      <a:off x="0" y="0"/>
                      <a:ext cx="4496435" cy="26771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 xml:space="preserve">  从下表看出，烃类火的温升要比纤维素火快得多，10min时大约为纤维素火的温升1.48-1.82倍，90分钟时大约为纤维素火温升的1.17-1.32倍。</w:t>
      </w:r>
    </w:p>
    <w:p>
      <w:pPr>
        <w:keepNext w:val="0"/>
        <w:keepLines w:val="0"/>
        <w:pageBreakBefore w:val="0"/>
        <w:widowControl w:val="0"/>
        <w:numPr>
          <w:ilvl w:val="0"/>
          <w:numId w:val="0"/>
        </w:numPr>
        <w:tabs>
          <w:tab w:val="left" w:leader="underscore" w:pos="1050"/>
        </w:tabs>
        <w:kinsoku/>
        <w:wordWrap/>
        <w:overflowPunct/>
        <w:topLinePunct w:val="0"/>
        <w:autoSpaceDE/>
        <w:autoSpaceDN/>
        <w:bidi w:val="0"/>
        <w:adjustRightInd/>
        <w:snapToGrid/>
        <w:spacing w:line="240" w:lineRule="auto"/>
        <w:ind w:left="0" w:leftChars="0" w:right="0" w:rightChars="0" w:firstLine="420" w:firstLineChars="200"/>
        <w:jc w:val="both"/>
        <w:textAlignment w:val="auto"/>
        <w:rPr>
          <w:rFonts w:hint="eastAsia" w:ascii="宋体" w:hAnsi="宋体" w:eastAsia="宋体" w:cs="宋体"/>
          <w:lang w:val="en-US" w:eastAsia="zh-CN"/>
        </w:rPr>
      </w:pPr>
      <w:r>
        <w:rPr>
          <w:rFonts w:hint="eastAsia" w:ascii="宋体" w:hAnsi="宋体" w:eastAsia="宋体" w:cs="宋体"/>
          <w:lang w:eastAsia="zh-CN"/>
        </w:rPr>
        <w:drawing>
          <wp:inline distT="0" distB="0" distL="114300" distR="114300">
            <wp:extent cx="5269230" cy="1524000"/>
            <wp:effectExtent l="0" t="0" r="7620" b="0"/>
            <wp:docPr id="2" name="图片 2"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22"/>
                    <pic:cNvPicPr>
                      <a:picLocks noChangeAspect="1"/>
                    </pic:cNvPicPr>
                  </pic:nvPicPr>
                  <pic:blipFill>
                    <a:blip r:embed="rId6"/>
                    <a:stretch>
                      <a:fillRect/>
                    </a:stretch>
                  </pic:blipFill>
                  <pic:spPr>
                    <a:xfrm>
                      <a:off x="0" y="0"/>
                      <a:ext cx="5269230" cy="1524000"/>
                    </a:xfrm>
                    <a:prstGeom prst="rect">
                      <a:avLst/>
                    </a:prstGeom>
                  </pic:spPr>
                </pic:pic>
              </a:graphicData>
            </a:graphic>
          </wp:inline>
        </w:drawing>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RomanS">
    <w:panose1 w:val="02000400000000000000"/>
    <w:charset w:val="00"/>
    <w:family w:val="auto"/>
    <w:pitch w:val="default"/>
    <w:sig w:usb0="00000207" w:usb1="00000000" w:usb2="00000000" w:usb3="00000000" w:csb0="000001FF" w:csb1="00000000"/>
  </w:font>
  <w:font w:name="Lucida Sans Unicode">
    <w:panose1 w:val="020B0602030504020204"/>
    <w:charset w:val="00"/>
    <w:family w:val="auto"/>
    <w:pitch w:val="default"/>
    <w:sig w:usb0="80001AFF" w:usb1="0000396B" w:usb2="00000000" w:usb3="00000000" w:csb0="200000BF" w:csb1="D7F70000"/>
  </w:font>
  <w:font w:name="微软雅黑">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2C4DF"/>
    <w:multiLevelType w:val="singleLevel"/>
    <w:tmpl w:val="5812C4DF"/>
    <w:lvl w:ilvl="0" w:tentative="0">
      <w:start w:val="1"/>
      <w:numFmt w:val="decimal"/>
      <w:suff w:val="nothing"/>
      <w:lvlText w:val="%1、"/>
      <w:lvlJc w:val="left"/>
    </w:lvl>
  </w:abstractNum>
  <w:abstractNum w:abstractNumId="1">
    <w:nsid w:val="5812D304"/>
    <w:multiLevelType w:val="singleLevel"/>
    <w:tmpl w:val="5812D304"/>
    <w:lvl w:ilvl="0" w:tentative="0">
      <w:start w:val="1"/>
      <w:numFmt w:val="decimal"/>
      <w:suff w:val="nothing"/>
      <w:lvlText w:val="%1、"/>
      <w:lvlJc w:val="left"/>
    </w:lvl>
  </w:abstractNum>
  <w:abstractNum w:abstractNumId="2">
    <w:nsid w:val="5812D6C9"/>
    <w:multiLevelType w:val="singleLevel"/>
    <w:tmpl w:val="5812D6C9"/>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12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1366B1"/>
    <w:rsid w:val="040935CE"/>
    <w:rsid w:val="0A07746B"/>
    <w:rsid w:val="171366B1"/>
    <w:rsid w:val="230346B5"/>
    <w:rsid w:val="33DB7C99"/>
    <w:rsid w:val="33F4699D"/>
    <w:rsid w:val="3CC3094B"/>
    <w:rsid w:val="5B422CAB"/>
    <w:rsid w:val="6287230F"/>
    <w:rsid w:val="79CE29BD"/>
    <w:rsid w:val="7AE2442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2016-10-28T03:18:00Z</dcterms:created>
  <dc:creator>Administrator</dc:creator>
  <cp:lastModifiedBy>Administrator</cp:lastModifiedBy>
  <dcterms:modified xsi:type="dcterms:W3CDTF">2016-11-23T02:13:51Z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